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</w:t>
      </w:r>
      <w:proofErr w:type="gramStart"/>
      <w:r w:rsidR="00824412" w:rsidRPr="009365B2">
        <w:rPr>
          <w:b/>
        </w:rPr>
        <w:t>д</w:t>
      </w:r>
      <w:r w:rsidR="00E1046E" w:rsidRPr="009365B2">
        <w:rPr>
          <w:b/>
        </w:rPr>
        <w:t>(</w:t>
      </w:r>
      <w:proofErr w:type="gramEnd"/>
      <w:r w:rsidR="00E1046E" w:rsidRPr="009365B2">
        <w:rPr>
          <w:b/>
        </w:rPr>
        <w:t>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301F7E" w:rsidRPr="009365B2" w:rsidRDefault="00301F7E" w:rsidP="006E3A34"/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6E3A34" w:rsidRDefault="006E3A34" w:rsidP="00032AD7">
      <w:pPr>
        <w:ind w:left="4963" w:firstLine="709"/>
        <w:jc w:val="center"/>
      </w:pPr>
    </w:p>
    <w:p w:rsidR="006E3A34" w:rsidRPr="009365B2" w:rsidRDefault="006E3A34" w:rsidP="00032AD7">
      <w:pPr>
        <w:ind w:left="4963" w:firstLine="709"/>
        <w:jc w:val="center"/>
      </w:pPr>
    </w:p>
    <w:p w:rsidR="006E3A34" w:rsidRDefault="007303DC" w:rsidP="00152CB8">
      <w:pPr>
        <w:jc w:val="center"/>
      </w:pPr>
      <w:r w:rsidRPr="009365B2">
        <w:br w:type="page"/>
      </w: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4A349C" w:rsidRDefault="004A349C" w:rsidP="00152CB8">
      <w:pPr>
        <w:jc w:val="center"/>
      </w:pPr>
      <w:r>
        <w:t>ОГЛАВЛЕНИЕ</w:t>
      </w:r>
    </w:p>
    <w:p w:rsidR="006E3A34" w:rsidRDefault="006E3A34" w:rsidP="00152CB8">
      <w:pPr>
        <w:jc w:val="center"/>
      </w:pPr>
    </w:p>
    <w:p w:rsidR="006E3A34" w:rsidRDefault="006E3A34" w:rsidP="00152CB8">
      <w:pPr>
        <w:jc w:val="center"/>
      </w:pP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6E3A34">
        <w:t xml:space="preserve">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</w:t>
      </w:r>
      <w:r w:rsidR="006E3A34">
        <w:t xml:space="preserve">  </w:t>
      </w:r>
      <w:r w:rsidR="003F79AF">
        <w:t>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</w:t>
      </w:r>
      <w:r w:rsidR="006E3A34">
        <w:rPr>
          <w:bCs/>
          <w:caps/>
          <w:sz w:val="24"/>
          <w:szCs w:val="24"/>
        </w:rPr>
        <w:t xml:space="preserve"> </w:t>
      </w:r>
      <w:r w:rsidR="003F79AF">
        <w:rPr>
          <w:bCs/>
          <w:caps/>
          <w:sz w:val="24"/>
          <w:szCs w:val="24"/>
        </w:rPr>
        <w:t xml:space="preserve">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</w:t>
      </w:r>
      <w:r w:rsidR="006E3A34">
        <w:rPr>
          <w:bCs/>
          <w:caps/>
          <w:sz w:val="24"/>
          <w:szCs w:val="24"/>
        </w:rPr>
        <w:t xml:space="preserve">   </w:t>
      </w:r>
      <w:r w:rsidR="005211A5">
        <w:rPr>
          <w:bCs/>
          <w:caps/>
          <w:sz w:val="24"/>
          <w:szCs w:val="24"/>
        </w:rPr>
        <w:t xml:space="preserve"> </w:t>
      </w:r>
      <w:r w:rsidR="006E3A34">
        <w:rPr>
          <w:bCs/>
          <w:caps/>
          <w:sz w:val="24"/>
          <w:szCs w:val="24"/>
        </w:rPr>
        <w:t xml:space="preserve">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6E3A34">
        <w:rPr>
          <w:bCs/>
          <w:caps/>
        </w:rPr>
        <w:t xml:space="preserve"> 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</w:t>
      </w:r>
      <w:r w:rsidR="006E3A34">
        <w:rPr>
          <w:bCs/>
          <w:caps/>
        </w:rPr>
        <w:t xml:space="preserve">    </w:t>
      </w:r>
      <w:r w:rsidR="009C1B5F">
        <w:rPr>
          <w:bCs/>
          <w:caps/>
        </w:rPr>
        <w:t xml:space="preserve"> </w:t>
      </w:r>
      <w:r w:rsidR="006E3A34">
        <w:rPr>
          <w:bCs/>
          <w:caps/>
        </w:rPr>
        <w:t xml:space="preserve"> </w:t>
      </w:r>
      <w:r w:rsidR="009C1B5F">
        <w:rPr>
          <w:bCs/>
          <w:caps/>
        </w:rPr>
        <w:t>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</w:t>
      </w:r>
      <w:r w:rsidR="006E3A34">
        <w:rPr>
          <w:bCs/>
        </w:rPr>
        <w:t xml:space="preserve"> </w:t>
      </w:r>
      <w:r w:rsidR="007B70F2">
        <w:rPr>
          <w:bCs/>
        </w:rPr>
        <w:t xml:space="preserve"> </w:t>
      </w:r>
      <w:r w:rsidR="006E3A34">
        <w:rPr>
          <w:bCs/>
        </w:rPr>
        <w:t xml:space="preserve">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6E3A34">
        <w:rPr>
          <w:bCs/>
        </w:rPr>
        <w:t xml:space="preserve">     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</w:t>
      </w:r>
      <w:r w:rsidR="006E3A34">
        <w:rPr>
          <w:rStyle w:val="A10"/>
          <w:b w:val="0"/>
          <w:color w:val="auto"/>
          <w:sz w:val="24"/>
          <w:szCs w:val="24"/>
        </w:rPr>
        <w:t xml:space="preserve">  </w:t>
      </w:r>
      <w:r w:rsidR="005211A5">
        <w:rPr>
          <w:rStyle w:val="A10"/>
          <w:b w:val="0"/>
          <w:color w:val="auto"/>
          <w:sz w:val="24"/>
          <w:szCs w:val="24"/>
        </w:rPr>
        <w:t xml:space="preserve">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</w:t>
      </w:r>
      <w:r w:rsidR="006E3A34">
        <w:rPr>
          <w:bCs/>
        </w:rPr>
        <w:t xml:space="preserve">  </w:t>
      </w:r>
      <w:r w:rsidR="005211A5">
        <w:rPr>
          <w:bCs/>
        </w:rPr>
        <w:t xml:space="preserve"> </w:t>
      </w:r>
      <w:r w:rsidR="006E3A34">
        <w:rPr>
          <w:bCs/>
        </w:rPr>
        <w:t xml:space="preserve">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</w:t>
      </w:r>
      <w:r w:rsidR="006E3A34">
        <w:t xml:space="preserve"> </w:t>
      </w:r>
      <w:r w:rsidR="005211A5">
        <w:t xml:space="preserve"> 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</w:t>
      </w:r>
      <w:r w:rsidR="006E3A34">
        <w:rPr>
          <w:bCs/>
        </w:rPr>
        <w:t xml:space="preserve">    </w:t>
      </w:r>
      <w:r w:rsidR="00FE4AC3">
        <w:rPr>
          <w:bCs/>
        </w:rPr>
        <w:t xml:space="preserve">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6E3A34" w:rsidRDefault="00DD0F12" w:rsidP="006E3A34">
      <w:pPr>
        <w:pStyle w:val="3"/>
        <w:ind w:firstLine="142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</w:t>
      </w:r>
      <w:r w:rsidR="006E3A34">
        <w:t xml:space="preserve">циально-трудовые отношения </w:t>
      </w:r>
      <w:proofErr w:type="gramStart"/>
      <w:r w:rsidR="006E3A34">
        <w:t>в</w:t>
      </w:r>
      <w:proofErr w:type="gramEnd"/>
      <w:r w:rsidR="006E3A34">
        <w:t xml:space="preserve"> </w:t>
      </w:r>
    </w:p>
    <w:p w:rsidR="00DD0F12" w:rsidRPr="006E3A34" w:rsidRDefault="006E3A34" w:rsidP="006E3A34">
      <w:pPr>
        <w:pStyle w:val="3"/>
        <w:ind w:firstLine="709"/>
        <w:contextualSpacing/>
        <w:jc w:val="center"/>
        <w:rPr>
          <w:b/>
          <w:u w:val="single"/>
        </w:rPr>
      </w:pPr>
      <w:r w:rsidRPr="006E3A34">
        <w:rPr>
          <w:b/>
          <w:u w:val="single"/>
        </w:rPr>
        <w:t xml:space="preserve">Муниципальном бюджетном дошкольном образовательном </w:t>
      </w:r>
      <w:proofErr w:type="gramStart"/>
      <w:r w:rsidRPr="006E3A34">
        <w:rPr>
          <w:b/>
          <w:u w:val="single"/>
        </w:rPr>
        <w:t>учреждении</w:t>
      </w:r>
      <w:proofErr w:type="gramEnd"/>
      <w:r w:rsidRPr="006E3A34">
        <w:rPr>
          <w:b/>
          <w:u w:val="single"/>
        </w:rPr>
        <w:t xml:space="preserve"> «</w:t>
      </w:r>
      <w:proofErr w:type="spellStart"/>
      <w:r w:rsidR="004D5012">
        <w:rPr>
          <w:b/>
          <w:u w:val="single"/>
        </w:rPr>
        <w:t>ЦРР-</w:t>
      </w:r>
      <w:r w:rsidRPr="006E3A34">
        <w:rPr>
          <w:b/>
          <w:u w:val="single"/>
        </w:rPr>
        <w:t>Детский</w:t>
      </w:r>
      <w:proofErr w:type="spellEnd"/>
      <w:r w:rsidRPr="006E3A34">
        <w:rPr>
          <w:b/>
          <w:u w:val="single"/>
        </w:rPr>
        <w:t xml:space="preserve"> сад № 2</w:t>
      </w:r>
      <w:r w:rsidR="004D5012">
        <w:rPr>
          <w:b/>
          <w:u w:val="single"/>
        </w:rPr>
        <w:t>5 «Джейран</w:t>
      </w:r>
      <w:r w:rsidRPr="006E3A34">
        <w:rPr>
          <w:b/>
          <w:u w:val="single"/>
        </w:rPr>
        <w:t>»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6E3A34">
      <w:pPr>
        <w:pStyle w:val="3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6E3A34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6E3A34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6E3A34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6E3A34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6E3A34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6E3A34">
      <w:pPr>
        <w:pStyle w:val="3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6E3A34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6E3A34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6E3A34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6E3A34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6E3A34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6E3A34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</w:t>
      </w:r>
      <w:r w:rsidR="006E3A34">
        <w:t xml:space="preserve">разовательной организации </w:t>
      </w:r>
      <w:proofErr w:type="spellStart"/>
      <w:r w:rsidR="004D5012">
        <w:t>Абакарова</w:t>
      </w:r>
      <w:proofErr w:type="spellEnd"/>
      <w:r w:rsidR="004D5012">
        <w:t xml:space="preserve"> </w:t>
      </w:r>
      <w:proofErr w:type="spellStart"/>
      <w:r w:rsidR="004D5012">
        <w:t>Муминат</w:t>
      </w:r>
      <w:proofErr w:type="spellEnd"/>
      <w:r w:rsidR="004D5012">
        <w:t xml:space="preserve"> </w:t>
      </w:r>
      <w:proofErr w:type="spellStart"/>
      <w:r w:rsidR="004D5012">
        <w:t>Гаджиевна</w:t>
      </w:r>
      <w:proofErr w:type="spellEnd"/>
      <w:r w:rsidR="006E3A34">
        <w:t xml:space="preserve"> </w:t>
      </w:r>
      <w:r w:rsidRPr="009365B2">
        <w:t>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6E3A34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6E3A34">
      <w:pPr>
        <w:pStyle w:val="3"/>
        <w:ind w:firstLine="709"/>
        <w:contextualSpacing/>
        <w:jc w:val="left"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</w:t>
      </w:r>
      <w:r w:rsidR="006E3A34">
        <w:t xml:space="preserve">профсоюзной </w:t>
      </w:r>
      <w:r w:rsidR="003269C1">
        <w:t>организации) ___ Профком МБДОУ «ЦРР-Д/с№25 «Джейран»</w:t>
      </w:r>
      <w:r w:rsidR="001D0F9B">
        <w:t>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lastRenderedPageBreak/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E0425C">
        <w:t xml:space="preserve"> 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</w:t>
      </w:r>
      <w:r w:rsidR="006E3A34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</w:t>
      </w:r>
      <w:r w:rsidR="006E3A34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</w:t>
      </w:r>
      <w:r w:rsidRPr="0062259B">
        <w:rPr>
          <w:sz w:val="28"/>
          <w:szCs w:val="28"/>
        </w:rPr>
        <w:lastRenderedPageBreak/>
        <w:t>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 xml:space="preserve">В </w:t>
      </w:r>
      <w:r w:rsidR="00DB37E7">
        <w:rPr>
          <w:sz w:val="28"/>
          <w:szCs w:val="28"/>
        </w:rPr>
        <w:t xml:space="preserve"> </w:t>
      </w:r>
      <w:r w:rsidR="00DD0F12" w:rsidRPr="008B6889">
        <w:rPr>
          <w:sz w:val="28"/>
          <w:szCs w:val="28"/>
        </w:rPr>
        <w:t xml:space="preserve">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6E3A34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  <w:proofErr w:type="gramEnd"/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ED6078">
      <w:pPr>
        <w:ind w:firstLine="709"/>
        <w:contextualSpacing/>
        <w:jc w:val="center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</w:t>
      </w:r>
      <w:r w:rsidR="003269C1">
        <w:rPr>
          <w:sz w:val="28"/>
          <w:szCs w:val="28"/>
        </w:rPr>
        <w:t xml:space="preserve">рвичную профсоюзную организацию </w:t>
      </w:r>
      <w:r w:rsidR="003269C1" w:rsidRPr="003269C1">
        <w:t xml:space="preserve"> </w:t>
      </w:r>
      <w:r w:rsidR="003269C1" w:rsidRPr="003269C1">
        <w:rPr>
          <w:sz w:val="28"/>
          <w:szCs w:val="28"/>
        </w:rPr>
        <w:t>Профком МБДОУ «ЦРР-Д/с№25 «Джейран»</w:t>
      </w:r>
      <w:r w:rsidR="003269C1">
        <w:t xml:space="preserve"> 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ED6078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DB37E7">
      <w:pPr>
        <w:pStyle w:val="3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8E6672">
        <w:t xml:space="preserve">Содержание трудового договора, </w:t>
      </w:r>
      <w:r w:rsidR="00ED6078">
        <w:t xml:space="preserve"> </w:t>
      </w:r>
      <w:r w:rsidRPr="008E6672">
        <w:t>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  <w:proofErr w:type="gramEnd"/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 xml:space="preserve"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</w:t>
      </w:r>
      <w:r w:rsidRPr="00442FC1">
        <w:rPr>
          <w:iCs/>
        </w:rPr>
        <w:lastRenderedPageBreak/>
        <w:t>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>Трудовой договор с педагогическими работниками,</w:t>
      </w:r>
      <w:r w:rsidR="00DB37E7">
        <w:rPr>
          <w:iCs/>
        </w:rPr>
        <w:t xml:space="preserve"> </w:t>
      </w:r>
      <w:r w:rsidRPr="005D48A8">
        <w:rPr>
          <w:iCs/>
        </w:rPr>
        <w:t xml:space="preserve">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lastRenderedPageBreak/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</w:t>
      </w:r>
      <w:r w:rsidR="00FF5AD1">
        <w:t xml:space="preserve"> </w:t>
      </w:r>
      <w:r w:rsidR="0071200D" w:rsidRPr="00442FC1">
        <w:t xml:space="preserve">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lastRenderedPageBreak/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206DBE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 xml:space="preserve">не </w:t>
      </w:r>
      <w:proofErr w:type="gramStart"/>
      <w:r w:rsidRPr="00604E55">
        <w:rPr>
          <w:color w:val="000000"/>
          <w:sz w:val="28"/>
          <w:szCs w:val="28"/>
        </w:rPr>
        <w:t>позднее</w:t>
      </w:r>
      <w:proofErr w:type="gramEnd"/>
      <w:r w:rsidRPr="00604E55">
        <w:rPr>
          <w:color w:val="000000"/>
          <w:sz w:val="28"/>
          <w:szCs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2D56F5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lastRenderedPageBreak/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</w:t>
      </w:r>
      <w:r w:rsidR="00206DBE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  <w:proofErr w:type="gramEnd"/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2D56F5">
        <w:t xml:space="preserve"> 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>, а</w:t>
      </w:r>
      <w:proofErr w:type="gramEnd"/>
      <w:r w:rsidR="005B2060">
        <w:rPr>
          <w:i/>
        </w:rPr>
        <w:t xml:space="preserve"> также иные категории, например, </w:t>
      </w:r>
      <w:r w:rsidR="00774259">
        <w:rPr>
          <w:i/>
        </w:rPr>
        <w:t xml:space="preserve">работники, находящиеся в </w:t>
      </w:r>
      <w:proofErr w:type="spellStart"/>
      <w:r w:rsidR="005B2060">
        <w:rPr>
          <w:i/>
        </w:rPr>
        <w:t>предпенсион</w:t>
      </w:r>
      <w:r w:rsidR="00774259">
        <w:rPr>
          <w:i/>
        </w:rPr>
        <w:t>ном</w:t>
      </w:r>
      <w:proofErr w:type="spellEnd"/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lastRenderedPageBreak/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 xml:space="preserve">Устанавливать </w:t>
      </w:r>
      <w:proofErr w:type="gramStart"/>
      <w:r w:rsidR="00B55783">
        <w:rPr>
          <w:color w:val="000000"/>
          <w:sz w:val="28"/>
          <w:szCs w:val="28"/>
        </w:rPr>
        <w:t>п</w:t>
      </w:r>
      <w:r w:rsidR="00DD0F12" w:rsidRPr="009365B2">
        <w:rPr>
          <w:color w:val="000000"/>
          <w:sz w:val="28"/>
          <w:szCs w:val="28"/>
        </w:rPr>
        <w:t xml:space="preserve">ри направлении работников в служебные командировки </w:t>
      </w:r>
      <w:r w:rsidR="00206DBE">
        <w:rPr>
          <w:color w:val="000000"/>
          <w:sz w:val="28"/>
          <w:szCs w:val="28"/>
        </w:rPr>
        <w:t xml:space="preserve"> </w:t>
      </w:r>
      <w:r w:rsidR="00DD0F12" w:rsidRPr="009365B2">
        <w:rPr>
          <w:color w:val="000000"/>
          <w:sz w:val="28"/>
          <w:szCs w:val="28"/>
        </w:rPr>
        <w:t>норма суточных за каждые сутки нахождения в командировке в следующих размерах</w:t>
      </w:r>
      <w:proofErr w:type="gramEnd"/>
      <w:r w:rsidR="00DD0F12" w:rsidRPr="009365B2">
        <w:rPr>
          <w:color w:val="000000"/>
          <w:sz w:val="28"/>
          <w:szCs w:val="28"/>
        </w:rPr>
        <w:t>: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3269C1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При направлении работников </w:t>
      </w:r>
      <w:r w:rsidRPr="003269C1">
        <w:rPr>
          <w:rFonts w:ascii="Times New Roman" w:hAnsi="Times New Roman"/>
          <w:color w:val="000000" w:themeColor="text1"/>
          <w:sz w:val="28"/>
          <w:szCs w:val="28"/>
        </w:rPr>
        <w:t>в служебные командировки</w:t>
      </w:r>
      <w:r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районы Крайнего Севера и в приравненные к ним местности</w:t>
      </w:r>
      <w:r w:rsidR="00DE0AAB"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а также в субъекты Российской Федерации, отнесенные к Дальневосточному федеральному округу,</w:t>
      </w:r>
      <w:r w:rsidR="002D5DBA"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55783"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увеличивать </w:t>
      </w:r>
      <w:r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размер суточных </w:t>
      </w:r>
      <w:proofErr w:type="gramStart"/>
      <w:r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</w:t>
      </w:r>
      <w:proofErr w:type="gramEnd"/>
      <w:r w:rsidRPr="003269C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____%.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lastRenderedPageBreak/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0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1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2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</w:t>
      </w:r>
      <w:proofErr w:type="gramEnd"/>
      <w:r w:rsidR="00366E2F">
        <w:rPr>
          <w:color w:val="000000"/>
          <w:sz w:val="28"/>
          <w:szCs w:val="28"/>
        </w:rPr>
        <w:t xml:space="preserve">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3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4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5"/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</w:t>
      </w:r>
      <w:r w:rsidR="00467155">
        <w:t xml:space="preserve"> </w:t>
      </w:r>
      <w:r w:rsidRPr="00F22A68">
        <w:t xml:space="preserve">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6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</w:t>
      </w:r>
      <w:r w:rsidR="0046715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 xml:space="preserve"> с требованиями трудового законодательства и иных нормативных правовых </w:t>
      </w:r>
      <w:r w:rsidR="0046715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</w:t>
      </w:r>
      <w:r w:rsidR="0046715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7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lastRenderedPageBreak/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8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</w:t>
      </w:r>
      <w:r w:rsidRPr="00876162">
        <w:rPr>
          <w:iCs/>
        </w:rPr>
        <w:lastRenderedPageBreak/>
        <w:t>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2D56F5">
        <w:t>3.</w:t>
      </w:r>
      <w:r w:rsidR="008A73CD" w:rsidRPr="002D56F5">
        <w:t>1.</w:t>
      </w:r>
      <w:r w:rsidRPr="002D56F5">
        <w:t>5</w:t>
      </w:r>
      <w:r w:rsidR="00DA5F56" w:rsidRPr="002D56F5">
        <w:t>.</w:t>
      </w:r>
      <w:r w:rsidR="007A2BBE" w:rsidRPr="002D56F5">
        <w:rPr>
          <w:rFonts w:eastAsia="Arial Unicode MS"/>
          <w:kern w:val="1"/>
        </w:rPr>
        <w:t> </w:t>
      </w:r>
      <w:r w:rsidR="00044146" w:rsidRPr="002D56F5">
        <w:t xml:space="preserve">Для женщин, работающих в районах Крайнего Севера </w:t>
      </w:r>
      <w:r w:rsidR="00044146" w:rsidRPr="00B1245C">
        <w:t>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A35FA9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A35FA9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местности, а также в качестве руководителей длительных (без возвращения в тот же день) походов, </w:t>
      </w:r>
      <w:r w:rsidRPr="009365B2">
        <w:rPr>
          <w:sz w:val="28"/>
          <w:szCs w:val="28"/>
        </w:rPr>
        <w:lastRenderedPageBreak/>
        <w:t>экспедиций, экскурсий, путешествий в другую местность может иметь место только с согласия</w:t>
      </w:r>
      <w:r w:rsidR="00467155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 работников.</w:t>
      </w:r>
      <w:proofErr w:type="gramEnd"/>
      <w:r w:rsidRPr="009365B2">
        <w:rPr>
          <w:sz w:val="28"/>
          <w:szCs w:val="28"/>
        </w:rPr>
        <w:t xml:space="preserve"> </w:t>
      </w:r>
      <w:r w:rsidR="00467155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29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0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r w:rsidR="00D735BD" w:rsidRPr="009365B2">
        <w:t>у</w:t>
      </w:r>
      <w:proofErr w:type="gramEnd"/>
      <w:r w:rsidR="00D735BD" w:rsidRPr="009365B2">
        <w:t>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</w:t>
      </w:r>
      <w:r w:rsidRPr="00717182">
        <w:rPr>
          <w:sz w:val="28"/>
          <w:szCs w:val="28"/>
        </w:rPr>
        <w:lastRenderedPageBreak/>
        <w:t xml:space="preserve">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1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2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3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A35FA9">
        <w:rPr>
          <w:sz w:val="28"/>
          <w:szCs w:val="28"/>
        </w:rPr>
        <w:t xml:space="preserve">ю </w:t>
      </w:r>
      <w:r w:rsidR="00A35FA9" w:rsidRPr="00A35FA9">
        <w:rPr>
          <w:sz w:val="28"/>
          <w:szCs w:val="28"/>
          <w:u w:val="single"/>
        </w:rPr>
        <w:t>42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4"/>
      </w:r>
      <w:r w:rsidR="00A35FA9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A35FA9" w:rsidRPr="00A35FA9">
        <w:rPr>
          <w:sz w:val="28"/>
          <w:szCs w:val="28"/>
          <w:u w:val="single"/>
        </w:rPr>
        <w:t>28</w:t>
      </w:r>
      <w:r w:rsidR="00A35FA9">
        <w:rPr>
          <w:sz w:val="28"/>
          <w:szCs w:val="28"/>
        </w:rPr>
        <w:t xml:space="preserve"> 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A35FA9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lastRenderedPageBreak/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Pr="00E36488">
        <w:t>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C26ECE" w:rsidRDefault="00C26ECE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E36488">
        <w:t xml:space="preserve">календарных </w:t>
      </w:r>
      <w:r w:rsidR="00E36488"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5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>Одному из родителей (опекуну, попечителю) для ухода за детьм</w:t>
      </w:r>
      <w:proofErr w:type="gramStart"/>
      <w:r w:rsidRPr="007949C1">
        <w:rPr>
          <w:sz w:val="28"/>
          <w:szCs w:val="28"/>
        </w:rPr>
        <w:t>и-</w:t>
      </w:r>
      <w:proofErr w:type="gramEnd"/>
      <w:r w:rsidRPr="007949C1">
        <w:rPr>
          <w:sz w:val="28"/>
          <w:szCs w:val="28"/>
        </w:rPr>
        <w:t xml:space="preserve">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</w:t>
      </w:r>
      <w:r w:rsidR="003269C1">
        <w:rPr>
          <w:sz w:val="28"/>
          <w:szCs w:val="28"/>
        </w:rPr>
        <w:t>4</w:t>
      </w:r>
      <w:r>
        <w:rPr>
          <w:sz w:val="28"/>
          <w:szCs w:val="28"/>
        </w:rPr>
        <w:t>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Работникам, которым по условиям трудового договора установлен ненормированный рабочий день, предоставляется дополнительный </w:t>
      </w:r>
      <w:r w:rsidRPr="009365B2">
        <w:rPr>
          <w:sz w:val="28"/>
          <w:szCs w:val="28"/>
        </w:rPr>
        <w:lastRenderedPageBreak/>
        <w:t>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>__</w:t>
      </w:r>
      <w:r w:rsidR="003269C1">
        <w:t>3</w:t>
      </w:r>
      <w:r w:rsidRPr="00100DC0">
        <w:t xml:space="preserve">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7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>й</w:t>
      </w:r>
      <w:proofErr w:type="gramEnd"/>
      <w:r w:rsidR="00F67DCC" w:rsidRPr="00100DC0">
        <w:rPr>
          <w:sz w:val="28"/>
          <w:szCs w:val="28"/>
        </w:rPr>
        <w:t xml:space="preserve">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</w:t>
      </w:r>
      <w:r w:rsidR="003269C1">
        <w:t>3</w:t>
      </w:r>
      <w:r w:rsidR="00F9421C">
        <w:t>__</w:t>
      </w:r>
      <w:r w:rsidR="00E57502">
        <w:t xml:space="preserve"> календарных дней</w:t>
      </w:r>
      <w:r w:rsidR="00F9421C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отпуска – _</w:t>
      </w:r>
      <w:r w:rsidR="003269C1">
        <w:rPr>
          <w:sz w:val="28"/>
          <w:szCs w:val="28"/>
        </w:rPr>
        <w:t>56</w:t>
      </w:r>
      <w:r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5F6C15" w:rsidRPr="00521B9C">
        <w:t>_</w:t>
      </w:r>
      <w:r w:rsidR="00774E08">
        <w:t>3</w:t>
      </w:r>
      <w:r w:rsidR="005F6C15" w:rsidRPr="00521B9C">
        <w:t>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</w:t>
      </w:r>
      <w:r w:rsidR="00774E08">
        <w:t>3</w:t>
      </w:r>
      <w:r w:rsidR="005F6C15" w:rsidRPr="00521B9C">
        <w:t>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774E08">
        <w:t>_3</w:t>
      </w:r>
      <w:r w:rsidR="005F6C15" w:rsidRPr="00521B9C">
        <w:t>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</w:t>
      </w:r>
      <w:r w:rsidR="00774E08">
        <w:t>3</w:t>
      </w:r>
      <w:r w:rsidR="005F6C15" w:rsidRPr="00521B9C">
        <w:t>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774E08">
        <w:t>_5</w:t>
      </w:r>
      <w:r w:rsidR="005F6C15" w:rsidRPr="00521B9C">
        <w:t>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74E08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>_</w:t>
      </w:r>
      <w:r w:rsidR="00774E08">
        <w:t>3</w:t>
      </w:r>
      <w:r w:rsidR="005F6C15" w:rsidRPr="00521B9C">
        <w:t xml:space="preserve">__ </w:t>
      </w:r>
      <w:r w:rsidR="000B78D3" w:rsidRPr="00521B9C">
        <w:t>календарных дней</w:t>
      </w:r>
      <w:r w:rsidR="00774E08">
        <w:t xml:space="preserve">  и членам профкома 2 дня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86101D">
        <w:t>3.</w:t>
      </w:r>
      <w:r w:rsidR="008A73CD" w:rsidRPr="0086101D">
        <w:t>1.</w:t>
      </w:r>
      <w:r w:rsidR="004A393E" w:rsidRPr="0086101D">
        <w:t>2</w:t>
      </w:r>
      <w:r w:rsidR="008A73CD" w:rsidRPr="0086101D">
        <w:t>6</w:t>
      </w:r>
      <w:r w:rsidR="00F9421C" w:rsidRPr="0086101D">
        <w:t>.</w:t>
      </w:r>
      <w:r w:rsidR="00EE1175" w:rsidRPr="0086101D">
        <w:rPr>
          <w:rFonts w:eastAsia="Arial Unicode MS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="004F47DA">
        <w:t xml:space="preserve"> </w:t>
      </w:r>
      <w:r w:rsidR="004F47DA" w:rsidRPr="00774E08">
        <w:rPr>
          <w:color w:val="000000" w:themeColor="text1"/>
        </w:rPr>
        <w:t>(статья 128 ТК РФ)</w:t>
      </w:r>
      <w:r w:rsidRPr="00774E08">
        <w:rPr>
          <w:color w:val="000000" w:themeColor="text1"/>
        </w:rPr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r w:rsidR="00774E08">
        <w:t xml:space="preserve"> </w:t>
      </w:r>
      <w:proofErr w:type="gramStart"/>
      <w:r w:rsidRPr="009365B2">
        <w:t>контроль</w:t>
      </w:r>
      <w:r w:rsidR="00774E08">
        <w:t xml:space="preserve"> </w:t>
      </w:r>
      <w:r w:rsidRPr="009365B2">
        <w:t xml:space="preserve">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</w:t>
      </w:r>
      <w:proofErr w:type="spellStart"/>
      <w:r w:rsidRPr="009A03ED">
        <w:t>Минобрнауки</w:t>
      </w:r>
      <w:proofErr w:type="spellEnd"/>
      <w:r w:rsidRPr="009A03ED">
        <w:t xml:space="preserve"> России от 11 мая 2016 г. № 536</w:t>
      </w:r>
      <w:r>
        <w:rPr>
          <w:rStyle w:val="aff1"/>
        </w:rPr>
        <w:footnoteReference w:id="44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lastRenderedPageBreak/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5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6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35815">
        <w:rPr>
          <w:sz w:val="28"/>
          <w:szCs w:val="28"/>
        </w:rPr>
        <w:t>позднее</w:t>
      </w:r>
      <w:proofErr w:type="gramEnd"/>
      <w:r w:rsidRPr="00435815">
        <w:rPr>
          <w:sz w:val="28"/>
          <w:szCs w:val="28"/>
        </w:rPr>
        <w:t xml:space="preserve">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7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</w:t>
      </w:r>
      <w:proofErr w:type="gramStart"/>
      <w:r w:rsidR="00352666" w:rsidRPr="003076F3">
        <w:rPr>
          <w:rFonts w:eastAsia="MS Mincho"/>
          <w:sz w:val="28"/>
          <w:szCs w:val="28"/>
        </w:rPr>
        <w:t>в(</w:t>
      </w:r>
      <w:proofErr w:type="gramEnd"/>
      <w:r w:rsidR="00352666" w:rsidRPr="003076F3">
        <w:rPr>
          <w:rFonts w:eastAsia="MS Mincho"/>
          <w:sz w:val="28"/>
          <w:szCs w:val="28"/>
        </w:rPr>
        <w:t>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 xml:space="preserve">за ставку заработной платы, а </w:t>
      </w:r>
      <w:r w:rsidR="00352666" w:rsidRPr="003076F3">
        <w:rPr>
          <w:rFonts w:eastAsia="MS Mincho"/>
          <w:sz w:val="28"/>
          <w:szCs w:val="28"/>
        </w:rPr>
        <w:lastRenderedPageBreak/>
        <w:t>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8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lastRenderedPageBreak/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9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50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51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два часа работы на ________________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2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lastRenderedPageBreak/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3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</w:t>
      </w:r>
      <w:proofErr w:type="gramEnd"/>
      <w:r w:rsidR="00845DB4" w:rsidRPr="009365B2">
        <w:rPr>
          <w:sz w:val="28"/>
          <w:szCs w:val="28"/>
        </w:rPr>
        <w:t>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</w:t>
      </w:r>
      <w:r w:rsidR="00EA74D3">
        <w:rPr>
          <w:rStyle w:val="aff1"/>
          <w:sz w:val="28"/>
          <w:szCs w:val="28"/>
        </w:rPr>
        <w:footnoteReference w:id="54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  <w:proofErr w:type="gramEnd"/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5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>ть _______ процен</w:t>
      </w:r>
      <w:proofErr w:type="gramStart"/>
      <w:r w:rsidR="00095A44" w:rsidRPr="00241C3E">
        <w:rPr>
          <w:b w:val="0"/>
          <w:szCs w:val="28"/>
        </w:rPr>
        <w:t>т(</w:t>
      </w:r>
      <w:proofErr w:type="spellStart"/>
      <w:proofErr w:type="gramEnd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>определить ______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 xml:space="preserve">что </w:t>
      </w:r>
      <w:r w:rsidR="00241C3E" w:rsidRPr="00241C3E">
        <w:rPr>
          <w:sz w:val="28"/>
          <w:szCs w:val="28"/>
        </w:rPr>
        <w:lastRenderedPageBreak/>
        <w:t>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6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>При несоблюдении указанных требований к наполняемости классов, приводящем к</w:t>
      </w:r>
      <w:r w:rsidR="001B49F3">
        <w:rPr>
          <w:sz w:val="28"/>
          <w:szCs w:val="28"/>
        </w:rPr>
        <w:t xml:space="preserve"> 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r w:rsidR="008509FB" w:rsidRPr="009365B2">
        <w:rPr>
          <w:sz w:val="28"/>
          <w:szCs w:val="28"/>
        </w:rPr>
        <w:t xml:space="preserve"> количества обучающихся, воспитанников в классе,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 в размере ___________</w:t>
      </w:r>
      <w:r w:rsidR="00241C3E" w:rsidRPr="00EA74D3">
        <w:rPr>
          <w:rStyle w:val="aff1"/>
          <w:sz w:val="28"/>
          <w:szCs w:val="28"/>
        </w:rPr>
        <w:footnoteReference w:id="57"/>
      </w:r>
      <w:r w:rsidR="008509FB" w:rsidRPr="00EA74D3">
        <w:rPr>
          <w:sz w:val="28"/>
          <w:szCs w:val="28"/>
        </w:rPr>
        <w:t>.</w:t>
      </w:r>
    </w:p>
    <w:p w:rsidR="00A80FB8" w:rsidRDefault="00A80FB8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4.15</w:t>
      </w:r>
      <w:r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rStyle w:val="A00"/>
          <w:sz w:val="28"/>
          <w:szCs w:val="28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Pr="00B712C9">
        <w:rPr>
          <w:rStyle w:val="A00"/>
          <w:sz w:val="28"/>
          <w:szCs w:val="28"/>
        </w:rPr>
        <w:t>обучающимися</w:t>
      </w:r>
      <w:proofErr w:type="gramEnd"/>
      <w:r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</w:t>
      </w:r>
      <w:r w:rsidRPr="00B712C9">
        <w:rPr>
          <w:color w:val="000000"/>
          <w:spacing w:val="2"/>
          <w:sz w:val="28"/>
          <w:szCs w:val="28"/>
        </w:rPr>
        <w:lastRenderedPageBreak/>
        <w:t xml:space="preserve">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 xml:space="preserve">СанПиН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8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9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gramStart"/>
      <w:r w:rsidR="00DD0F12" w:rsidRPr="00E7703C">
        <w:rPr>
          <w:color w:val="auto"/>
          <w:sz w:val="28"/>
          <w:szCs w:val="28"/>
        </w:rPr>
        <w:t>социальные</w:t>
      </w:r>
      <w:proofErr w:type="gramEnd"/>
      <w:r w:rsidR="00DD0F12" w:rsidRPr="00E7703C">
        <w:rPr>
          <w:color w:val="auto"/>
          <w:sz w:val="28"/>
          <w:szCs w:val="28"/>
        </w:rPr>
        <w:t xml:space="preserve">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  <w:proofErr w:type="gramEnd"/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</w:t>
      </w:r>
      <w:r w:rsidR="00DD0F12" w:rsidRPr="00FB2E71">
        <w:lastRenderedPageBreak/>
        <w:t>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60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t xml:space="preserve">Работники, не достигшие </w:t>
      </w:r>
      <w:r w:rsidR="005271D1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>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50117D">
        <w:rPr>
          <w:sz w:val="28"/>
          <w:szCs w:val="28"/>
        </w:rPr>
        <w:t xml:space="preserve">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61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группах образовательной организации в социальных </w:t>
      </w:r>
      <w:proofErr w:type="spellStart"/>
      <w:r w:rsidR="00753215">
        <w:rPr>
          <w:color w:val="auto"/>
          <w:sz w:val="28"/>
          <w:szCs w:val="28"/>
        </w:rPr>
        <w:t>сетях</w:t>
      </w:r>
      <w:proofErr w:type="gramStart"/>
      <w:r w:rsidR="00753215">
        <w:rPr>
          <w:color w:val="auto"/>
          <w:sz w:val="28"/>
          <w:szCs w:val="28"/>
        </w:rPr>
        <w:t>,С</w:t>
      </w:r>
      <w:proofErr w:type="gramEnd"/>
      <w:r w:rsidR="00753215">
        <w:rPr>
          <w:color w:val="auto"/>
          <w:sz w:val="28"/>
          <w:szCs w:val="28"/>
        </w:rPr>
        <w:t>МИ</w:t>
      </w:r>
      <w:proofErr w:type="spellEnd"/>
      <w:r w:rsidR="00753215">
        <w:rPr>
          <w:color w:val="auto"/>
          <w:sz w:val="28"/>
          <w:szCs w:val="28"/>
        </w:rPr>
        <w:t>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62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63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64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5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</w:t>
      </w:r>
      <w:proofErr w:type="gramEnd"/>
      <w:r>
        <w:rPr>
          <w:sz w:val="28"/>
          <w:szCs w:val="28"/>
        </w:rPr>
        <w:t>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6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7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</w:t>
      </w:r>
      <w:proofErr w:type="gramEnd"/>
      <w:r>
        <w:rPr>
          <w:sz w:val="28"/>
          <w:szCs w:val="28"/>
        </w:rPr>
        <w:t xml:space="preserve"> им расходы на приобретение сертифицированной спецодежды и других средства индивидуальной защиты (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Незамедлительно извещать руководителя, заместителя руководителя либо руководителя структурного подразделения образовательной </w:t>
      </w:r>
      <w:r>
        <w:rPr>
          <w:sz w:val="28"/>
          <w:szCs w:val="28"/>
        </w:rPr>
        <w:lastRenderedPageBreak/>
        <w:t>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8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9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70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71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72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proofErr w:type="gramStart"/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73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 xml:space="preserve">соответствии с Положением о служебных </w:t>
      </w:r>
      <w:r w:rsidR="003F79AF" w:rsidRPr="00D21848">
        <w:rPr>
          <w:color w:val="auto"/>
          <w:sz w:val="28"/>
          <w:szCs w:val="28"/>
        </w:rPr>
        <w:lastRenderedPageBreak/>
        <w:t>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</w:t>
      </w:r>
      <w:proofErr w:type="gramStart"/>
      <w:r w:rsidRPr="00D21848">
        <w:rPr>
          <w:color w:val="auto"/>
          <w:sz w:val="28"/>
          <w:szCs w:val="28"/>
        </w:rPr>
        <w:t>о-</w:t>
      </w:r>
      <w:proofErr w:type="gramEnd"/>
      <w:r w:rsidRPr="00D21848">
        <w:rPr>
          <w:color w:val="auto"/>
          <w:sz w:val="28"/>
          <w:szCs w:val="28"/>
        </w:rPr>
        <w:t xml:space="preserve">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74"/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5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 xml:space="preserve">выборных органов первичной профсоюзной </w:t>
      </w:r>
      <w:r w:rsidR="004D4DAD">
        <w:rPr>
          <w:sz w:val="28"/>
          <w:szCs w:val="28"/>
        </w:rPr>
        <w:lastRenderedPageBreak/>
        <w:t>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lastRenderedPageBreak/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6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lastRenderedPageBreak/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>
        <w:rPr>
          <w:rFonts w:eastAsia="Times New Roman"/>
          <w:sz w:val="28"/>
          <w:szCs w:val="28"/>
        </w:rPr>
        <w:t>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 w:rsidR="00DD0F12"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</w:t>
      </w:r>
      <w:proofErr w:type="spellEnd"/>
      <w:r w:rsidR="00DD0F12"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gramStart"/>
      <w:r w:rsidR="00DD0F12" w:rsidRPr="007814F9">
        <w:rPr>
          <w:spacing w:val="-6"/>
        </w:rPr>
        <w:t>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</w:t>
      </w:r>
      <w:proofErr w:type="gram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</w:t>
      </w:r>
      <w:proofErr w:type="gramEnd"/>
      <w:r w:rsidR="00DD0F12" w:rsidRPr="00620ADF">
        <w:rPr>
          <w:sz w:val="28"/>
          <w:szCs w:val="28"/>
        </w:rPr>
        <w:t xml:space="preserve">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77"/>
      </w:r>
      <w:r w:rsidR="00DF0CA1">
        <w:rPr>
          <w:iCs/>
          <w:color w:val="auto"/>
          <w:sz w:val="28"/>
          <w:szCs w:val="28"/>
        </w:rPr>
        <w:t>;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lastRenderedPageBreak/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</w:t>
      </w:r>
      <w:r w:rsidR="00DD0F12" w:rsidRPr="00075954">
        <w:rPr>
          <w:sz w:val="28"/>
          <w:szCs w:val="28"/>
        </w:rPr>
        <w:lastRenderedPageBreak/>
        <w:t xml:space="preserve">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8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6A0F8B" w:rsidRDefault="007D331F" w:rsidP="006A0F8B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</w:t>
      </w:r>
      <w:r w:rsidR="00DD0F12" w:rsidRPr="0014594B">
        <w:rPr>
          <w:sz w:val="28"/>
          <w:szCs w:val="28"/>
        </w:rPr>
        <w:lastRenderedPageBreak/>
        <w:t xml:space="preserve">порядке, установленном Уставом Профсоюза, вплоть до досрочного прекращения полномочий. </w:t>
      </w:r>
    </w:p>
    <w:p w:rsidR="00DD0F12" w:rsidRPr="006A0F8B" w:rsidRDefault="00DD0F12" w:rsidP="006A0F8B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</w:t>
      </w:r>
      <w:proofErr w:type="gramStart"/>
      <w:r w:rsidR="00872347" w:rsidRPr="00872347">
        <w:rPr>
          <w:sz w:val="28"/>
          <w:szCs w:val="28"/>
        </w:rPr>
        <w:t>и</w:t>
      </w:r>
      <w:r w:rsidR="00872347" w:rsidRPr="00872347">
        <w:rPr>
          <w:i/>
          <w:sz w:val="28"/>
          <w:szCs w:val="28"/>
        </w:rPr>
        <w:t>(</w:t>
      </w:r>
      <w:proofErr w:type="gramEnd"/>
      <w:r w:rsidR="00872347" w:rsidRPr="00872347">
        <w:rPr>
          <w:i/>
          <w:sz w:val="28"/>
          <w:szCs w:val="28"/>
        </w:rPr>
        <w:t>либо с даты, указанной в коллективном договоре по соглаш</w:t>
      </w:r>
      <w:bookmarkStart w:id="0" w:name="_GoBack"/>
      <w:bookmarkEnd w:id="0"/>
      <w:r w:rsidR="00872347" w:rsidRPr="00872347">
        <w:rPr>
          <w:i/>
          <w:sz w:val="28"/>
          <w:szCs w:val="28"/>
        </w:rPr>
        <w:t>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79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 xml:space="preserve">омиссией по подготовке, заключению, </w:t>
      </w:r>
      <w:r w:rsidRPr="0014594B">
        <w:rPr>
          <w:sz w:val="28"/>
          <w:szCs w:val="28"/>
        </w:rPr>
        <w:lastRenderedPageBreak/>
        <w:t>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331FDB" w:rsidRDefault="00331FDB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5271D1">
            <w:pPr>
              <w:pStyle w:val="Default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</w:t>
            </w:r>
            <w:r w:rsidR="005271D1">
              <w:rPr>
                <w:sz w:val="28"/>
                <w:szCs w:val="28"/>
              </w:rPr>
              <w:t xml:space="preserve">   </w:t>
            </w:r>
            <w:r w:rsidR="00DD0F12">
              <w:rPr>
                <w:sz w:val="28"/>
                <w:szCs w:val="28"/>
              </w:rPr>
              <w:t xml:space="preserve">организации </w:t>
            </w:r>
          </w:p>
          <w:p w:rsidR="00DD0F12" w:rsidRDefault="00DD0F12" w:rsidP="005271D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6A0F8B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DD0F12"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5271D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5271D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5271D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DD0F12" w:rsidRDefault="00DD0F12" w:rsidP="005271D1">
            <w:pPr>
              <w:pStyle w:val="Default"/>
              <w:ind w:firstLine="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6A0F8B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D0F12"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5271D1">
            <w:pPr>
              <w:pStyle w:val="Default"/>
              <w:ind w:firstLine="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5B" w:rsidRDefault="00FE5E5B">
      <w:r>
        <w:separator/>
      </w:r>
    </w:p>
  </w:endnote>
  <w:endnote w:type="continuationSeparator" w:id="0">
    <w:p w:rsidR="00FE5E5B" w:rsidRDefault="00FE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C1" w:rsidRDefault="00B14E98" w:rsidP="0002281E">
    <w:pPr>
      <w:pStyle w:val="a4"/>
      <w:jc w:val="right"/>
    </w:pPr>
    <w:fldSimple w:instr="PAGE   \* MERGEFORMAT">
      <w:r w:rsidR="00BC362B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5B" w:rsidRDefault="00FE5E5B">
      <w:r>
        <w:separator/>
      </w:r>
    </w:p>
  </w:footnote>
  <w:footnote w:type="continuationSeparator" w:id="0">
    <w:p w:rsidR="00FE5E5B" w:rsidRDefault="00FE5E5B">
      <w:r>
        <w:continuationSeparator/>
      </w:r>
    </w:p>
  </w:footnote>
  <w:footnote w:id="1">
    <w:p w:rsidR="003269C1" w:rsidRDefault="003269C1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3269C1" w:rsidRDefault="003269C1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3">
    <w:p w:rsidR="003269C1" w:rsidRDefault="003269C1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3269C1" w:rsidRDefault="003269C1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3269C1" w:rsidRDefault="003269C1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3269C1" w:rsidRPr="003A5A3C" w:rsidRDefault="003269C1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3269C1" w:rsidRPr="003008D9" w:rsidRDefault="003269C1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3269C1" w:rsidRPr="00442FC1" w:rsidRDefault="003269C1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3269C1" w:rsidRPr="00EB03E3" w:rsidRDefault="003269C1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3269C1" w:rsidRDefault="003269C1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3269C1" w:rsidRPr="00832D98" w:rsidRDefault="003269C1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3269C1" w:rsidRPr="00833558" w:rsidRDefault="003269C1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3269C1" w:rsidRDefault="003269C1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3269C1" w:rsidRDefault="003269C1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3269C1" w:rsidRDefault="003269C1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3269C1" w:rsidRDefault="003269C1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 w:rsidR="00B14E98">
        <w:fldChar w:fldCharType="begin"/>
      </w:r>
      <w:r>
        <w:instrText xml:space="preserve"> HYPERLINK "http://www.eseur.ru/Sovmestnoe_pismo_Minobrnauki_i_Profsouza_po_sokrascheniu_i_ustraneniu_izbitochnoy_otchetnosti_uchiteley/" \t "_blank" </w:instrText>
      </w:r>
      <w:r w:rsidR="00B14E98"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 w:rsidR="00B14E98"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3269C1" w:rsidRPr="00024235" w:rsidRDefault="003269C1" w:rsidP="000A0A46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3269C1" w:rsidRDefault="003269C1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9">
    <w:p w:rsidR="003269C1" w:rsidRDefault="003269C1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3269C1" w:rsidRDefault="003269C1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1">
    <w:p w:rsidR="003269C1" w:rsidRDefault="003269C1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2">
    <w:p w:rsidR="003269C1" w:rsidRPr="00672959" w:rsidRDefault="003269C1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3">
    <w:p w:rsidR="003269C1" w:rsidRDefault="003269C1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4">
    <w:p w:rsidR="003269C1" w:rsidRDefault="003269C1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5">
    <w:p w:rsidR="003269C1" w:rsidRDefault="003269C1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6">
    <w:p w:rsidR="003269C1" w:rsidRPr="00AA737A" w:rsidRDefault="003269C1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7">
    <w:p w:rsidR="003269C1" w:rsidRDefault="003269C1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8">
    <w:p w:rsidR="003269C1" w:rsidRPr="007A2BBE" w:rsidRDefault="003269C1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29">
    <w:p w:rsidR="003269C1" w:rsidRPr="00101282" w:rsidRDefault="003269C1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0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1">
    <w:p w:rsidR="003269C1" w:rsidRDefault="003269C1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2">
    <w:p w:rsidR="003269C1" w:rsidRPr="00717182" w:rsidRDefault="003269C1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3">
    <w:p w:rsidR="003269C1" w:rsidRDefault="003269C1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4">
    <w:p w:rsidR="003269C1" w:rsidRDefault="003269C1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5">
    <w:p w:rsidR="003269C1" w:rsidRPr="00E71608" w:rsidRDefault="003269C1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 xml:space="preserve">Положение об ежегодных дополнительных </w:t>
      </w:r>
      <w:proofErr w:type="gramStart"/>
      <w:r w:rsidRPr="00A17BBE">
        <w:rPr>
          <w:rFonts w:ascii="Times New Roman" w:hAnsi="Times New Roman" w:cs="Times New Roman"/>
        </w:rPr>
        <w:t>оплачиваемые</w:t>
      </w:r>
      <w:proofErr w:type="gramEnd"/>
      <w:r w:rsidRPr="00A17BBE">
        <w:rPr>
          <w:rFonts w:ascii="Times New Roman" w:hAnsi="Times New Roman" w:cs="Times New Roman"/>
        </w:rPr>
        <w:t xml:space="preserve"> отпусках может быть приложением к коллективному договору.</w:t>
      </w:r>
    </w:p>
  </w:footnote>
  <w:footnote w:id="36">
    <w:p w:rsidR="003269C1" w:rsidRDefault="003269C1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3269C1" w:rsidRDefault="003269C1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3269C1" w:rsidRPr="00E71608" w:rsidRDefault="003269C1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3269C1" w:rsidRDefault="003269C1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3269C1" w:rsidRPr="00F9421C" w:rsidRDefault="003269C1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3269C1" w:rsidRDefault="003269C1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3269C1" w:rsidRPr="008A73CD" w:rsidRDefault="003269C1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3269C1" w:rsidRDefault="003269C1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3269C1" w:rsidRDefault="003269C1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3269C1" w:rsidRDefault="003269C1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5">
    <w:p w:rsidR="003269C1" w:rsidRPr="004F42E6" w:rsidRDefault="003269C1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6">
    <w:p w:rsidR="003269C1" w:rsidRPr="00A2348D" w:rsidRDefault="003269C1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7">
    <w:p w:rsidR="003269C1" w:rsidRDefault="003269C1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8">
    <w:p w:rsidR="003269C1" w:rsidRDefault="003269C1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3269C1" w:rsidRDefault="003269C1" w:rsidP="00435815">
      <w:pPr>
        <w:pStyle w:val="aff"/>
        <w:contextualSpacing/>
        <w:jc w:val="both"/>
      </w:pPr>
      <w:r>
        <w:t xml:space="preserve">Конкретные </w:t>
      </w:r>
      <w:proofErr w:type="gramStart"/>
      <w:r>
        <w:t>размеры оплаты труда</w:t>
      </w:r>
      <w:proofErr w:type="gramEnd"/>
      <w:r>
        <w:t xml:space="preserve"> за работу в ночное время могут устанавливаться положением об оплате труда работников.</w:t>
      </w:r>
    </w:p>
  </w:footnote>
  <w:footnote w:id="49">
    <w:p w:rsidR="003269C1" w:rsidRDefault="003269C1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50">
    <w:p w:rsidR="003269C1" w:rsidRDefault="003269C1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1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2">
    <w:p w:rsidR="003269C1" w:rsidRPr="00D5459C" w:rsidRDefault="003269C1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3">
    <w:p w:rsidR="003269C1" w:rsidRPr="00D5459C" w:rsidRDefault="003269C1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4">
    <w:p w:rsidR="003269C1" w:rsidRDefault="003269C1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3269C1" w:rsidRDefault="003269C1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5">
    <w:p w:rsidR="003269C1" w:rsidRDefault="003269C1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6">
    <w:p w:rsidR="003269C1" w:rsidRPr="00241C3E" w:rsidRDefault="003269C1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7">
    <w:p w:rsidR="003269C1" w:rsidRDefault="003269C1" w:rsidP="00241C3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</w:t>
      </w:r>
      <w:proofErr w:type="gramStart"/>
      <w:r>
        <w:t>могут</w:t>
      </w:r>
      <w:proofErr w:type="gramEnd"/>
      <w:r>
        <w:t xml:space="preserve">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8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59">
    <w:p w:rsidR="003269C1" w:rsidRDefault="003269C1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0">
    <w:p w:rsidR="003269C1" w:rsidRDefault="003269C1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1">
    <w:p w:rsidR="003269C1" w:rsidRPr="001857A3" w:rsidRDefault="003269C1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2">
    <w:p w:rsidR="003269C1" w:rsidRPr="00AC41E3" w:rsidRDefault="003269C1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3">
    <w:p w:rsidR="003269C1" w:rsidRDefault="003269C1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4">
    <w:p w:rsidR="003269C1" w:rsidRDefault="003269C1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5">
    <w:p w:rsidR="003269C1" w:rsidRDefault="003269C1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6">
    <w:p w:rsidR="003269C1" w:rsidRDefault="003269C1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7">
    <w:p w:rsidR="003269C1" w:rsidRDefault="003269C1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8">
    <w:p w:rsidR="003269C1" w:rsidRDefault="003269C1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9">
    <w:p w:rsidR="003269C1" w:rsidRDefault="003269C1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0">
    <w:p w:rsidR="003269C1" w:rsidRDefault="003269C1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1">
    <w:p w:rsidR="003269C1" w:rsidRPr="0087545E" w:rsidRDefault="003269C1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2">
    <w:p w:rsidR="003269C1" w:rsidRDefault="003269C1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3">
    <w:p w:rsidR="003269C1" w:rsidRDefault="003269C1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</w:t>
      </w:r>
      <w:proofErr w:type="spellStart"/>
      <w:r w:rsidRPr="00385CA7">
        <w:t>Минобрнауки</w:t>
      </w:r>
      <w:proofErr w:type="spellEnd"/>
      <w:r w:rsidRPr="00385CA7">
        <w:t xml:space="preserve">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4">
    <w:p w:rsidR="003269C1" w:rsidRDefault="003269C1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75">
    <w:p w:rsidR="003269C1" w:rsidRPr="006D0FB6" w:rsidRDefault="003269C1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6">
    <w:p w:rsidR="003269C1" w:rsidRDefault="003269C1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7">
    <w:p w:rsidR="003269C1" w:rsidRPr="00DF0CA1" w:rsidRDefault="003269C1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8">
    <w:p w:rsidR="003269C1" w:rsidRDefault="003269C1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79">
    <w:p w:rsidR="003269C1" w:rsidRDefault="003269C1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5A8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56C2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CC7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06DBE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6F5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442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9C1"/>
    <w:rsid w:val="00326AE6"/>
    <w:rsid w:val="00330BA6"/>
    <w:rsid w:val="00331FDB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6F0D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4765B"/>
    <w:rsid w:val="00450FCF"/>
    <w:rsid w:val="00451C91"/>
    <w:rsid w:val="00453B6A"/>
    <w:rsid w:val="0045684E"/>
    <w:rsid w:val="004605DF"/>
    <w:rsid w:val="004618F4"/>
    <w:rsid w:val="00465B7D"/>
    <w:rsid w:val="00467155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C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5012"/>
    <w:rsid w:val="004D6725"/>
    <w:rsid w:val="004E0257"/>
    <w:rsid w:val="004E1BEC"/>
    <w:rsid w:val="004E2AE2"/>
    <w:rsid w:val="004E38C2"/>
    <w:rsid w:val="004F2C08"/>
    <w:rsid w:val="004F3290"/>
    <w:rsid w:val="004F3940"/>
    <w:rsid w:val="004F4074"/>
    <w:rsid w:val="004F42E6"/>
    <w:rsid w:val="004F47DA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1D1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0F8B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3A34"/>
    <w:rsid w:val="006E597B"/>
    <w:rsid w:val="006E64D6"/>
    <w:rsid w:val="006E68F2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4E08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71A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101D"/>
    <w:rsid w:val="0086270B"/>
    <w:rsid w:val="00862EF3"/>
    <w:rsid w:val="008655A6"/>
    <w:rsid w:val="008658C1"/>
    <w:rsid w:val="008664A9"/>
    <w:rsid w:val="00866B0F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03D6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4696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6574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35FA9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4E98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29E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62B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37E7"/>
    <w:rsid w:val="00DB40DA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425C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2AFF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6078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17E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50B8"/>
    <w:rsid w:val="00FD6F5B"/>
    <w:rsid w:val="00FE268A"/>
    <w:rsid w:val="00FE3D1F"/>
    <w:rsid w:val="00FE4AC3"/>
    <w:rsid w:val="00FE5E5B"/>
    <w:rsid w:val="00FE6013"/>
    <w:rsid w:val="00FF1D6E"/>
    <w:rsid w:val="00FF24F3"/>
    <w:rsid w:val="00FF426F"/>
    <w:rsid w:val="00FF4D06"/>
    <w:rsid w:val="00FF5AD1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46CD-56ED-4E1D-9BDC-DC4A34C4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18541</Words>
  <Characters>105685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SPecialiST RePack</Company>
  <LinksUpToDate>false</LinksUpToDate>
  <CharactersWithSpaces>123979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2</cp:revision>
  <cp:lastPrinted>2020-08-25T12:18:00Z</cp:lastPrinted>
  <dcterms:created xsi:type="dcterms:W3CDTF">2021-07-15T12:14:00Z</dcterms:created>
  <dcterms:modified xsi:type="dcterms:W3CDTF">2021-07-15T12:14:00Z</dcterms:modified>
</cp:coreProperties>
</file>